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校园周边安全隐患排查重点</w:t>
      </w:r>
    </w:p>
    <w:p>
      <w:pPr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</w:p>
    <w:p>
      <w:pPr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1.校园周边经营秩序。校园周边200 米以内无证经营的小餐馆、饮食流动摊点、小食品店、杂货摊点；生产、经营和存储有毒、有害和危险化学品、易燃易爆品的企业和仓库等。</w:t>
      </w:r>
    </w:p>
    <w:p>
      <w:pPr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2.校园周边文化环境。校园周边200 米以内出售非法出版物的音像书刊点，以及网吧、电子游戏厅、娱乐场所、“黄、赌、毒”等社会丑恶现象等。</w:t>
      </w:r>
    </w:p>
    <w:p>
      <w:pPr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3.校园周边交通秩序。校园周边道路情况，是否经常出现交通拥挤现象，校园周边交通标志、标线及各类安全设施情况，是否有专人维持交通秩序；“黑出租”“黑摩的”及各种非法接送学生营运车辆；车辆乱停、乱放等交通安全隐患。</w:t>
      </w:r>
    </w:p>
    <w:p>
      <w:pPr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4.校园周边建筑隐患。校园周边正在拆迁和施工的建设工程、违章建筑和乱搭乱建、乱摆乱占、乱贴乱画等行为；校园周边危房；出租房屋存在的安全隐患。</w:t>
      </w:r>
    </w:p>
    <w:p>
      <w:pPr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5.校园周边治安环境。校园及周边存在的矛盾纠纷、高危人员；引诱学生犯罪、打架斗殴、索要钱财等治安问题。</w:t>
      </w:r>
    </w:p>
    <w:p>
      <w:pPr>
        <w:ind w:firstLine="600" w:firstLineChars="200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6.其他问题。群众、家长、师生反映强烈的其他问题。</w:t>
      </w:r>
    </w:p>
    <w:p>
      <w:pPr>
        <w:jc w:val="center"/>
        <w:rPr>
          <w:rFonts w:hint="eastAsia" w:ascii="仿宋_GB2312" w:hAnsi="宋体" w:eastAsia="仿宋_GB2312"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632C"/>
    <w:rsid w:val="4E46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2020-09-25T00:37:00Z</dcterms:created>
  <dc:creator>金沙布衣</dc:creator>
  <cp:lastModifiedBy>金沙布衣</cp:lastModifiedBy>
  <dcterms:modified xsi:type="dcterms:W3CDTF">2020-09-25T00:37:47Z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